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75" w:rsidRDefault="005C2575" w:rsidP="005C2575">
      <w:pPr>
        <w:pStyle w:val="1"/>
        <w:numPr>
          <w:ilvl w:val="0"/>
          <w:numId w:val="0"/>
        </w:numPr>
        <w:spacing w:beforeLines="100" w:afterLines="150" w:line="240" w:lineRule="auto"/>
        <w:jc w:val="center"/>
        <w:rPr>
          <w:rFonts w:ascii="黑体" w:eastAsia="黑体"/>
          <w:b w:val="0"/>
        </w:rPr>
      </w:pPr>
      <w:r w:rsidRPr="005C2575">
        <w:rPr>
          <w:rFonts w:ascii="黑体" w:eastAsia="黑体" w:hint="eastAsia"/>
          <w:b w:val="0"/>
        </w:rPr>
        <w:t>濮阳医学高等专科学校等级保护测评项目</w:t>
      </w:r>
      <w:r>
        <w:rPr>
          <w:rFonts w:ascii="黑体" w:eastAsia="黑体" w:hint="eastAsia"/>
          <w:b w:val="0"/>
        </w:rPr>
        <w:t>要  求</w:t>
      </w:r>
    </w:p>
    <w:p w:rsidR="005C2575" w:rsidRDefault="005C2575" w:rsidP="005C2575">
      <w:pPr>
        <w:pStyle w:val="2"/>
        <w:rPr>
          <w:rFonts w:ascii="宋体" w:hAnsi="宋体"/>
          <w:bCs/>
          <w:sz w:val="24"/>
          <w:szCs w:val="21"/>
        </w:rPr>
      </w:pPr>
      <w:bookmarkStart w:id="0" w:name="_Toc394916200"/>
      <w:bookmarkStart w:id="1" w:name="_Toc493489988"/>
      <w:bookmarkStart w:id="2" w:name="_Toc394916155"/>
      <w:bookmarkStart w:id="3" w:name="_Toc394916008"/>
      <w:r>
        <w:rPr>
          <w:rFonts w:ascii="宋体" w:hAnsi="宋体" w:hint="eastAsia"/>
          <w:bCs/>
          <w:sz w:val="24"/>
          <w:szCs w:val="21"/>
        </w:rPr>
        <w:t>一、项目</w:t>
      </w:r>
      <w:bookmarkEnd w:id="0"/>
      <w:bookmarkEnd w:id="1"/>
      <w:bookmarkEnd w:id="2"/>
      <w:bookmarkEnd w:id="3"/>
      <w:r>
        <w:rPr>
          <w:rFonts w:ascii="宋体" w:hAnsi="宋体" w:hint="eastAsia"/>
          <w:bCs/>
          <w:sz w:val="24"/>
          <w:szCs w:val="21"/>
        </w:rPr>
        <w:t>意义</w:t>
      </w:r>
    </w:p>
    <w:p w:rsidR="005C2575" w:rsidRDefault="005C2575" w:rsidP="005C2575">
      <w:pPr>
        <w:spacing w:line="360" w:lineRule="auto"/>
        <w:ind w:leftChars="-1" w:left="-2"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贯彻国家政策要求，落实网络安全等级保护制度，全面提升信息系统安全保护能力和网络安全管理水平，按照国家相关要求开展网络安全等级保护测评工作。</w:t>
      </w:r>
    </w:p>
    <w:p w:rsidR="005C2575" w:rsidRDefault="005C2575" w:rsidP="005C2575">
      <w:pPr>
        <w:pStyle w:val="2"/>
        <w:rPr>
          <w:rFonts w:ascii="宋体" w:hAnsi="宋体"/>
          <w:bCs/>
          <w:sz w:val="24"/>
          <w:szCs w:val="21"/>
        </w:rPr>
      </w:pPr>
      <w:bookmarkStart w:id="4" w:name="_Toc394916201"/>
      <w:bookmarkStart w:id="5" w:name="_Toc394916156"/>
      <w:bookmarkStart w:id="6" w:name="_Toc493489989"/>
      <w:bookmarkStart w:id="7" w:name="_Toc394916009"/>
      <w:r>
        <w:rPr>
          <w:rFonts w:ascii="宋体" w:hAnsi="宋体" w:hint="eastAsia"/>
          <w:bCs/>
          <w:sz w:val="24"/>
          <w:szCs w:val="21"/>
        </w:rPr>
        <w:t>二、项目范围</w:t>
      </w:r>
      <w:bookmarkEnd w:id="4"/>
      <w:bookmarkEnd w:id="5"/>
      <w:bookmarkEnd w:id="6"/>
      <w:bookmarkEnd w:id="7"/>
    </w:p>
    <w:p w:rsidR="005C2575" w:rsidRDefault="005C2575" w:rsidP="005C2575">
      <w:pPr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信息系统包含：</w:t>
      </w:r>
      <w:proofErr w:type="gramStart"/>
      <w:r>
        <w:rPr>
          <w:rFonts w:ascii="宋体" w:hAnsi="宋体" w:hint="eastAsia"/>
          <w:sz w:val="24"/>
          <w:szCs w:val="21"/>
        </w:rPr>
        <w:t>一</w:t>
      </w:r>
      <w:proofErr w:type="gramEnd"/>
      <w:r>
        <w:rPr>
          <w:rFonts w:ascii="宋体" w:hAnsi="宋体" w:hint="eastAsia"/>
          <w:sz w:val="24"/>
          <w:szCs w:val="21"/>
        </w:rPr>
        <w:t>卡通系统、网站系统等。</w:t>
      </w:r>
    </w:p>
    <w:p w:rsidR="005C2575" w:rsidRDefault="005C2575" w:rsidP="005C2575">
      <w:pPr>
        <w:pStyle w:val="2"/>
        <w:rPr>
          <w:rFonts w:ascii="宋体" w:hAnsi="宋体"/>
          <w:bCs/>
          <w:sz w:val="24"/>
          <w:szCs w:val="21"/>
        </w:rPr>
      </w:pPr>
      <w:bookmarkStart w:id="8" w:name="_Toc394916202"/>
      <w:bookmarkStart w:id="9" w:name="_Toc493489990"/>
      <w:bookmarkStart w:id="10" w:name="_Toc394916010"/>
      <w:bookmarkStart w:id="11" w:name="_Toc394916157"/>
      <w:r>
        <w:rPr>
          <w:rFonts w:ascii="宋体" w:hAnsi="宋体" w:hint="eastAsia"/>
          <w:bCs/>
          <w:sz w:val="24"/>
          <w:szCs w:val="21"/>
        </w:rPr>
        <w:t>三、项目要求</w:t>
      </w:r>
      <w:bookmarkEnd w:id="8"/>
      <w:bookmarkEnd w:id="9"/>
      <w:bookmarkEnd w:id="10"/>
      <w:bookmarkEnd w:id="11"/>
    </w:p>
    <w:p w:rsidR="005C2575" w:rsidRDefault="005C2575" w:rsidP="005C2575">
      <w:pPr>
        <w:tabs>
          <w:tab w:val="left" w:pos="425"/>
        </w:tabs>
        <w:spacing w:before="120" w:after="120" w:line="360" w:lineRule="auto"/>
        <w:ind w:firstLineChars="200" w:firstLine="480"/>
        <w:rPr>
          <w:rFonts w:eastAsia="宋体"/>
          <w:b/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完成信息系统安全等级保护测评工作，提交信息系统的安全等级保护测评报告，协助完成在当地公安部门的等级保护备案工作，取得备案证明。</w:t>
      </w:r>
    </w:p>
    <w:p w:rsidR="005C2575" w:rsidRDefault="005C2575" w:rsidP="005C2575">
      <w:pPr>
        <w:pStyle w:val="2"/>
        <w:rPr>
          <w:rFonts w:ascii="宋体" w:hAnsi="宋体"/>
          <w:bCs/>
          <w:sz w:val="24"/>
          <w:szCs w:val="21"/>
        </w:rPr>
      </w:pPr>
      <w:bookmarkStart w:id="12" w:name="_Toc442367401"/>
      <w:r>
        <w:rPr>
          <w:rFonts w:ascii="宋体" w:hAnsi="宋体" w:hint="eastAsia"/>
          <w:bCs/>
          <w:sz w:val="24"/>
          <w:szCs w:val="21"/>
        </w:rPr>
        <w:t>四、遵循的政策法规</w:t>
      </w:r>
      <w:bookmarkEnd w:id="12"/>
      <w:r>
        <w:rPr>
          <w:rFonts w:ascii="宋体" w:hAnsi="宋体" w:hint="eastAsia"/>
          <w:bCs/>
          <w:sz w:val="24"/>
          <w:szCs w:val="21"/>
        </w:rPr>
        <w:t>和规范</w:t>
      </w:r>
    </w:p>
    <w:p w:rsidR="005C2575" w:rsidRDefault="005C2575" w:rsidP="005C2575">
      <w:pPr>
        <w:numPr>
          <w:ilvl w:val="0"/>
          <w:numId w:val="2"/>
        </w:numPr>
        <w:tabs>
          <w:tab w:val="left" w:pos="425"/>
        </w:tabs>
        <w:spacing w:before="120" w:after="120" w:line="360" w:lineRule="auto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《中华人民共和国网络安全法》；</w:t>
      </w:r>
    </w:p>
    <w:p w:rsidR="005C2575" w:rsidRDefault="005C2575" w:rsidP="005C2575">
      <w:pPr>
        <w:numPr>
          <w:ilvl w:val="0"/>
          <w:numId w:val="2"/>
        </w:numPr>
        <w:tabs>
          <w:tab w:val="left" w:pos="425"/>
        </w:tabs>
        <w:spacing w:before="120" w:after="120" w:line="360" w:lineRule="auto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《中华人民共和国计算机信息系统安全保护条例》（国务院令</w:t>
      </w:r>
      <w:r>
        <w:rPr>
          <w:bCs/>
          <w:sz w:val="24"/>
          <w:szCs w:val="21"/>
        </w:rPr>
        <w:t>147</w:t>
      </w:r>
      <w:r>
        <w:rPr>
          <w:rFonts w:hint="eastAsia"/>
          <w:bCs/>
          <w:sz w:val="24"/>
          <w:szCs w:val="21"/>
        </w:rPr>
        <w:t>号）；</w:t>
      </w:r>
    </w:p>
    <w:p w:rsidR="005C2575" w:rsidRDefault="005C2575" w:rsidP="005C2575">
      <w:pPr>
        <w:numPr>
          <w:ilvl w:val="0"/>
          <w:numId w:val="2"/>
        </w:numPr>
        <w:tabs>
          <w:tab w:val="left" w:pos="425"/>
        </w:tabs>
        <w:spacing w:before="120" w:after="120" w:line="360" w:lineRule="auto"/>
        <w:rPr>
          <w:b/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《计算机信息系统安全等级保护划分准则》（</w:t>
      </w:r>
      <w:r>
        <w:rPr>
          <w:bCs/>
          <w:sz w:val="24"/>
          <w:szCs w:val="21"/>
        </w:rPr>
        <w:t>GB/T17859-1999</w:t>
      </w:r>
      <w:r>
        <w:rPr>
          <w:rFonts w:hint="eastAsia"/>
          <w:bCs/>
          <w:sz w:val="24"/>
          <w:szCs w:val="21"/>
        </w:rPr>
        <w:t>）；</w:t>
      </w:r>
    </w:p>
    <w:p w:rsidR="005C2575" w:rsidRDefault="005C2575" w:rsidP="005C2575">
      <w:pPr>
        <w:numPr>
          <w:ilvl w:val="0"/>
          <w:numId w:val="2"/>
        </w:numPr>
        <w:spacing w:before="120" w:after="120" w:line="360" w:lineRule="auto"/>
      </w:pPr>
      <w:r>
        <w:rPr>
          <w:rFonts w:hint="eastAsia"/>
          <w:bCs/>
          <w:sz w:val="24"/>
          <w:szCs w:val="21"/>
        </w:rPr>
        <w:t>《信息安全等级保护管理办法》（公通字</w:t>
      </w:r>
      <w:r>
        <w:rPr>
          <w:bCs/>
          <w:sz w:val="24"/>
          <w:szCs w:val="21"/>
        </w:rPr>
        <w:t>[2007]43</w:t>
      </w:r>
      <w:r>
        <w:rPr>
          <w:rFonts w:hint="eastAsia"/>
          <w:bCs/>
          <w:sz w:val="24"/>
          <w:szCs w:val="21"/>
        </w:rPr>
        <w:t>号）；</w:t>
      </w:r>
    </w:p>
    <w:p w:rsidR="005C2575" w:rsidRDefault="005C2575" w:rsidP="005C2575">
      <w:pPr>
        <w:numPr>
          <w:ilvl w:val="0"/>
          <w:numId w:val="2"/>
        </w:numPr>
        <w:spacing w:before="120" w:after="120" w:line="360" w:lineRule="auto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《信息安全技术</w:t>
      </w:r>
      <w:r>
        <w:rPr>
          <w:rFonts w:hint="eastAsia"/>
          <w:bCs/>
          <w:sz w:val="24"/>
          <w:szCs w:val="21"/>
        </w:rPr>
        <w:t xml:space="preserve"> </w:t>
      </w:r>
      <w:r>
        <w:rPr>
          <w:rFonts w:hint="eastAsia"/>
          <w:bCs/>
          <w:sz w:val="24"/>
          <w:szCs w:val="21"/>
        </w:rPr>
        <w:t>信息系统安全等级保护实施指南》（</w:t>
      </w:r>
      <w:r>
        <w:rPr>
          <w:bCs/>
          <w:sz w:val="24"/>
          <w:szCs w:val="21"/>
        </w:rPr>
        <w:t>GB/T 25058-2010</w:t>
      </w:r>
      <w:r>
        <w:rPr>
          <w:rFonts w:hint="eastAsia"/>
          <w:bCs/>
          <w:sz w:val="24"/>
          <w:szCs w:val="21"/>
        </w:rPr>
        <w:t>）；</w:t>
      </w:r>
    </w:p>
    <w:p w:rsidR="005C2575" w:rsidRDefault="005C2575" w:rsidP="005C2575">
      <w:pPr>
        <w:numPr>
          <w:ilvl w:val="0"/>
          <w:numId w:val="2"/>
        </w:numPr>
        <w:spacing w:before="120" w:after="120" w:line="360" w:lineRule="auto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《信息安全技术</w:t>
      </w:r>
      <w:r>
        <w:rPr>
          <w:rFonts w:hint="eastAsia"/>
          <w:bCs/>
          <w:sz w:val="24"/>
          <w:szCs w:val="21"/>
        </w:rPr>
        <w:t xml:space="preserve"> </w:t>
      </w:r>
      <w:r>
        <w:rPr>
          <w:rFonts w:hint="eastAsia"/>
          <w:bCs/>
          <w:sz w:val="24"/>
          <w:szCs w:val="21"/>
        </w:rPr>
        <w:t>网络安全等级保护基本要求》（</w:t>
      </w:r>
      <w:r>
        <w:rPr>
          <w:bCs/>
          <w:sz w:val="24"/>
          <w:szCs w:val="21"/>
        </w:rPr>
        <w:t>GB/T 22239-20</w:t>
      </w:r>
      <w:r>
        <w:rPr>
          <w:rFonts w:hint="eastAsia"/>
          <w:bCs/>
          <w:sz w:val="24"/>
          <w:szCs w:val="21"/>
        </w:rPr>
        <w:t>19</w:t>
      </w:r>
      <w:r>
        <w:rPr>
          <w:rFonts w:hint="eastAsia"/>
          <w:bCs/>
          <w:sz w:val="24"/>
          <w:szCs w:val="21"/>
        </w:rPr>
        <w:t>）；</w:t>
      </w:r>
    </w:p>
    <w:p w:rsidR="005C2575" w:rsidRDefault="005C2575" w:rsidP="005C2575">
      <w:pPr>
        <w:numPr>
          <w:ilvl w:val="0"/>
          <w:numId w:val="2"/>
        </w:numPr>
        <w:spacing w:before="120" w:after="120" w:line="360" w:lineRule="auto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《信息安全技术</w:t>
      </w:r>
      <w:r>
        <w:rPr>
          <w:rFonts w:hint="eastAsia"/>
          <w:bCs/>
          <w:sz w:val="24"/>
          <w:szCs w:val="21"/>
        </w:rPr>
        <w:t xml:space="preserve"> </w:t>
      </w:r>
      <w:r>
        <w:rPr>
          <w:rFonts w:hint="eastAsia"/>
          <w:bCs/>
          <w:sz w:val="24"/>
          <w:szCs w:val="21"/>
        </w:rPr>
        <w:t>信息系统安全保护等级保护定级指南》（</w:t>
      </w:r>
      <w:r>
        <w:rPr>
          <w:bCs/>
          <w:sz w:val="24"/>
          <w:szCs w:val="21"/>
        </w:rPr>
        <w:t>GB/T 22240-2008</w:t>
      </w:r>
      <w:r>
        <w:rPr>
          <w:rFonts w:hint="eastAsia"/>
          <w:bCs/>
          <w:sz w:val="24"/>
          <w:szCs w:val="21"/>
        </w:rPr>
        <w:t>）；</w:t>
      </w:r>
    </w:p>
    <w:p w:rsidR="005C2575" w:rsidRDefault="005C2575" w:rsidP="005C2575">
      <w:pPr>
        <w:numPr>
          <w:ilvl w:val="0"/>
          <w:numId w:val="2"/>
        </w:numPr>
        <w:spacing w:before="120" w:after="120" w:line="360" w:lineRule="auto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《信息安全技术</w:t>
      </w:r>
      <w:r>
        <w:rPr>
          <w:rFonts w:hint="eastAsia"/>
          <w:bCs/>
          <w:sz w:val="24"/>
          <w:szCs w:val="21"/>
        </w:rPr>
        <w:t xml:space="preserve"> </w:t>
      </w:r>
      <w:r>
        <w:rPr>
          <w:rFonts w:hint="eastAsia"/>
          <w:bCs/>
          <w:sz w:val="24"/>
          <w:szCs w:val="21"/>
        </w:rPr>
        <w:t>网络安全等级保护测评要求》（</w:t>
      </w:r>
      <w:r>
        <w:rPr>
          <w:bCs/>
          <w:sz w:val="24"/>
          <w:szCs w:val="21"/>
        </w:rPr>
        <w:t>GB/T 28448-2019</w:t>
      </w:r>
      <w:r>
        <w:rPr>
          <w:rFonts w:hint="eastAsia"/>
          <w:bCs/>
          <w:sz w:val="24"/>
          <w:szCs w:val="21"/>
        </w:rPr>
        <w:t>）；</w:t>
      </w:r>
    </w:p>
    <w:p w:rsidR="005C2575" w:rsidRDefault="005C2575" w:rsidP="005C2575">
      <w:pPr>
        <w:numPr>
          <w:ilvl w:val="0"/>
          <w:numId w:val="2"/>
        </w:numPr>
        <w:spacing w:before="120" w:after="120" w:line="360" w:lineRule="auto"/>
        <w:rPr>
          <w:bCs/>
          <w:sz w:val="24"/>
          <w:szCs w:val="21"/>
        </w:rPr>
      </w:pPr>
      <w:r>
        <w:rPr>
          <w:rFonts w:hint="eastAsia"/>
          <w:bCs/>
          <w:sz w:val="24"/>
          <w:szCs w:val="21"/>
        </w:rPr>
        <w:t>《信息安全技术</w:t>
      </w:r>
      <w:r>
        <w:rPr>
          <w:rFonts w:hint="eastAsia"/>
          <w:bCs/>
          <w:sz w:val="24"/>
          <w:szCs w:val="21"/>
        </w:rPr>
        <w:t xml:space="preserve"> </w:t>
      </w:r>
      <w:r>
        <w:rPr>
          <w:rFonts w:hint="eastAsia"/>
          <w:bCs/>
          <w:sz w:val="24"/>
          <w:szCs w:val="21"/>
        </w:rPr>
        <w:t>网络安全等级保护测评过程指南》（</w:t>
      </w:r>
      <w:r>
        <w:rPr>
          <w:bCs/>
          <w:sz w:val="24"/>
          <w:szCs w:val="21"/>
        </w:rPr>
        <w:t>GB/T 2844</w:t>
      </w:r>
      <w:r>
        <w:rPr>
          <w:rFonts w:hint="eastAsia"/>
          <w:bCs/>
          <w:sz w:val="24"/>
          <w:szCs w:val="21"/>
        </w:rPr>
        <w:t>9</w:t>
      </w:r>
      <w:r>
        <w:rPr>
          <w:bCs/>
          <w:sz w:val="24"/>
          <w:szCs w:val="21"/>
        </w:rPr>
        <w:t>-201</w:t>
      </w:r>
      <w:r>
        <w:rPr>
          <w:rFonts w:hint="eastAsia"/>
          <w:bCs/>
          <w:sz w:val="24"/>
          <w:szCs w:val="21"/>
        </w:rPr>
        <w:t>8</w:t>
      </w:r>
      <w:r>
        <w:rPr>
          <w:rFonts w:hint="eastAsia"/>
          <w:bCs/>
          <w:sz w:val="24"/>
          <w:szCs w:val="21"/>
        </w:rPr>
        <w:t>）。</w:t>
      </w:r>
    </w:p>
    <w:p w:rsidR="005C2575" w:rsidRDefault="005C2575" w:rsidP="005C2575">
      <w:pPr>
        <w:pStyle w:val="2"/>
        <w:rPr>
          <w:rFonts w:ascii="宋体" w:hAnsi="宋体"/>
          <w:bCs/>
          <w:sz w:val="24"/>
          <w:szCs w:val="21"/>
        </w:rPr>
      </w:pPr>
      <w:bookmarkStart w:id="13" w:name="_Toc442367403"/>
      <w:bookmarkStart w:id="14" w:name="_Toc442367407"/>
      <w:r>
        <w:rPr>
          <w:rFonts w:ascii="宋体" w:hAnsi="宋体" w:hint="eastAsia"/>
          <w:bCs/>
          <w:sz w:val="24"/>
          <w:szCs w:val="21"/>
        </w:rPr>
        <w:t>五、项目具体要求</w:t>
      </w:r>
      <w:bookmarkEnd w:id="13"/>
    </w:p>
    <w:p w:rsidR="005C2575" w:rsidRDefault="005C2575" w:rsidP="005C2575">
      <w:pPr>
        <w:pStyle w:val="Style1"/>
        <w:snapToGrid/>
        <w:ind w:firstLine="480"/>
        <w:jc w:val="left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>在安全等级测评过程中，每个工作阶段、流程、内容及成果交付严格遵循《</w:t>
      </w:r>
      <w:r>
        <w:rPr>
          <w:rFonts w:hint="eastAsia"/>
          <w:bCs/>
          <w:sz w:val="24"/>
        </w:rPr>
        <w:t>信息安全技术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网络安全等级保护测评要求</w:t>
      </w:r>
      <w:r>
        <w:rPr>
          <w:rFonts w:ascii="宋体" w:hAnsi="宋体" w:hint="eastAsia"/>
          <w:color w:val="auto"/>
          <w:sz w:val="24"/>
        </w:rPr>
        <w:t>》和《</w:t>
      </w:r>
      <w:r>
        <w:rPr>
          <w:rFonts w:hint="eastAsia"/>
          <w:bCs/>
          <w:sz w:val="24"/>
        </w:rPr>
        <w:t>信息安全技术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网络安全等级保护测评过程指南</w:t>
      </w:r>
      <w:r>
        <w:rPr>
          <w:rFonts w:ascii="宋体" w:hAnsi="宋体" w:hint="eastAsia"/>
          <w:color w:val="auto"/>
          <w:sz w:val="24"/>
        </w:rPr>
        <w:t>》文件，根据信息系统安全等级，开展相应级别的安全等级测评工</w:t>
      </w:r>
      <w:r>
        <w:rPr>
          <w:rFonts w:ascii="宋体" w:hAnsi="宋体" w:hint="eastAsia"/>
          <w:color w:val="auto"/>
          <w:sz w:val="24"/>
        </w:rPr>
        <w:lastRenderedPageBreak/>
        <w:t>作，根据测评结果出具相应的单项和整体测评报告。</w:t>
      </w:r>
    </w:p>
    <w:p w:rsidR="005C2575" w:rsidRDefault="005C2575" w:rsidP="005C2575">
      <w:pPr>
        <w:pStyle w:val="Style1"/>
        <w:snapToGrid/>
        <w:ind w:firstLineChars="0" w:firstLine="0"/>
        <w:jc w:val="left"/>
        <w:rPr>
          <w:rFonts w:ascii="宋体" w:hAnsi="宋体"/>
          <w:b/>
          <w:bCs/>
          <w:color w:val="auto"/>
          <w:sz w:val="24"/>
        </w:rPr>
      </w:pPr>
      <w:r>
        <w:rPr>
          <w:rFonts w:ascii="宋体" w:hAnsi="宋体" w:hint="eastAsia"/>
          <w:b/>
          <w:bCs/>
          <w:color w:val="auto"/>
          <w:sz w:val="24"/>
        </w:rPr>
        <w:t>1、测评过程文档</w:t>
      </w:r>
    </w:p>
    <w:p w:rsidR="005C2575" w:rsidRDefault="005C2575" w:rsidP="005C2575">
      <w:pPr>
        <w:pStyle w:val="Style1"/>
        <w:snapToGrid/>
        <w:ind w:firstLine="480"/>
        <w:jc w:val="left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>项目各阶段的测评过程文档（参照《</w:t>
      </w:r>
      <w:r>
        <w:rPr>
          <w:rFonts w:hint="eastAsia"/>
          <w:bCs/>
          <w:sz w:val="24"/>
        </w:rPr>
        <w:t>信息安全技术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网络安全等级保护测评过程指南</w:t>
      </w:r>
      <w:r>
        <w:rPr>
          <w:rFonts w:ascii="宋体" w:hAnsi="宋体" w:hint="eastAsia"/>
          <w:color w:val="auto"/>
          <w:sz w:val="24"/>
        </w:rPr>
        <w:t>》）编制。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00"/>
        <w:gridCol w:w="4822"/>
      </w:tblGrid>
      <w:tr w:rsidR="005C2575" w:rsidTr="00DE3223">
        <w:trPr>
          <w:tblHeader/>
          <w:jc w:val="center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75" w:rsidRDefault="005C2575" w:rsidP="00DE3223">
            <w:pPr>
              <w:pStyle w:val="Style1"/>
              <w:snapToGrid/>
              <w:ind w:firstLineChars="177" w:firstLine="373"/>
              <w:jc w:val="left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</w:rPr>
              <w:t>项目阶段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575" w:rsidRDefault="005C2575" w:rsidP="00DE3223">
            <w:pPr>
              <w:pStyle w:val="Style1"/>
              <w:snapToGrid/>
              <w:ind w:firstLineChars="177" w:firstLine="373"/>
              <w:jc w:val="left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</w:rPr>
              <w:t>交付成果</w:t>
            </w:r>
          </w:p>
        </w:tc>
      </w:tr>
      <w:tr w:rsidR="005C2575" w:rsidTr="00DE3223">
        <w:trPr>
          <w:jc w:val="center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测评准备活动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项目计划书</w:t>
            </w:r>
          </w:p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被测系统基本情况表</w:t>
            </w:r>
          </w:p>
        </w:tc>
      </w:tr>
      <w:tr w:rsidR="005C2575" w:rsidTr="00DE3223">
        <w:trPr>
          <w:jc w:val="center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方案编制活动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测评指导书</w:t>
            </w:r>
          </w:p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信息系统安全测评方案</w:t>
            </w:r>
          </w:p>
        </w:tc>
      </w:tr>
      <w:tr w:rsidR="005C2575" w:rsidTr="00DE3223">
        <w:trPr>
          <w:jc w:val="center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现场测评活动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测评结果记录</w:t>
            </w:r>
          </w:p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测评中发现的问题汇总</w:t>
            </w:r>
          </w:p>
        </w:tc>
      </w:tr>
      <w:tr w:rsidR="005C2575" w:rsidTr="00DE3223">
        <w:trPr>
          <w:jc w:val="center"/>
        </w:trPr>
        <w:tc>
          <w:tcPr>
            <w:tcW w:w="3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分析与报告编制活动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单项测评结果汇总分析</w:t>
            </w:r>
          </w:p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整体测评结果汇总分析</w:t>
            </w:r>
          </w:p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等级测评结论</w:t>
            </w:r>
          </w:p>
          <w:p w:rsidR="005C2575" w:rsidRDefault="005C2575" w:rsidP="00DE3223">
            <w:pPr>
              <w:pStyle w:val="Style1"/>
              <w:snapToGrid/>
              <w:ind w:firstLineChars="177" w:firstLine="372"/>
              <w:jc w:val="left"/>
              <w:rPr>
                <w:rFonts w:ascii="宋体" w:hAnsi="宋体"/>
                <w:color w:val="auto"/>
              </w:rPr>
            </w:pPr>
            <w:r>
              <w:rPr>
                <w:rFonts w:ascii="宋体" w:hAnsi="宋体" w:hint="eastAsia"/>
                <w:color w:val="auto"/>
              </w:rPr>
              <w:t>信息系统安全等级测评报告</w:t>
            </w:r>
          </w:p>
        </w:tc>
      </w:tr>
    </w:tbl>
    <w:p w:rsidR="005C2575" w:rsidRDefault="005C2575" w:rsidP="005C2575">
      <w:pPr>
        <w:pStyle w:val="Style1"/>
        <w:snapToGrid/>
        <w:ind w:firstLineChars="0" w:firstLine="0"/>
        <w:jc w:val="left"/>
        <w:rPr>
          <w:rFonts w:ascii="宋体" w:hAnsi="宋体"/>
          <w:b/>
          <w:bCs/>
          <w:color w:val="auto"/>
          <w:sz w:val="24"/>
        </w:rPr>
      </w:pPr>
    </w:p>
    <w:p w:rsidR="005C2575" w:rsidRDefault="005C2575" w:rsidP="005C2575">
      <w:pPr>
        <w:pStyle w:val="Style1"/>
        <w:snapToGrid/>
        <w:ind w:firstLineChars="0" w:firstLine="0"/>
        <w:jc w:val="left"/>
        <w:rPr>
          <w:rFonts w:ascii="宋体" w:hAnsi="宋体"/>
          <w:b/>
          <w:bCs/>
          <w:color w:val="auto"/>
          <w:sz w:val="24"/>
        </w:rPr>
      </w:pPr>
      <w:r>
        <w:rPr>
          <w:rFonts w:ascii="宋体" w:hAnsi="宋体" w:hint="eastAsia"/>
          <w:b/>
          <w:bCs/>
          <w:color w:val="auto"/>
          <w:sz w:val="24"/>
        </w:rPr>
        <w:t>2、整改建议</w:t>
      </w:r>
    </w:p>
    <w:p w:rsidR="005C2575" w:rsidRDefault="005C2575" w:rsidP="005C2575">
      <w:pPr>
        <w:pStyle w:val="Style1"/>
        <w:snapToGrid/>
        <w:ind w:firstLine="480"/>
        <w:jc w:val="left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>依照</w:t>
      </w:r>
      <w:r>
        <w:rPr>
          <w:rFonts w:hint="eastAsia"/>
          <w:bCs/>
          <w:sz w:val="24"/>
        </w:rPr>
        <w:t>《信息安全技术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网络安全等级保护安全设计技术要求》（</w:t>
      </w:r>
      <w:r>
        <w:rPr>
          <w:bCs/>
          <w:sz w:val="24"/>
        </w:rPr>
        <w:t>GB/T 2</w:t>
      </w:r>
      <w:r>
        <w:rPr>
          <w:rFonts w:hint="eastAsia"/>
          <w:bCs/>
          <w:sz w:val="24"/>
        </w:rPr>
        <w:t>5070</w:t>
      </w:r>
      <w:r>
        <w:rPr>
          <w:bCs/>
          <w:sz w:val="24"/>
        </w:rPr>
        <w:t>-20</w:t>
      </w:r>
      <w:r>
        <w:rPr>
          <w:rFonts w:hint="eastAsia"/>
          <w:bCs/>
          <w:sz w:val="24"/>
        </w:rPr>
        <w:t>19</w:t>
      </w:r>
      <w:r>
        <w:rPr>
          <w:rFonts w:hint="eastAsia"/>
          <w:bCs/>
          <w:sz w:val="24"/>
        </w:rPr>
        <w:t>）</w:t>
      </w:r>
      <w:r>
        <w:rPr>
          <w:rFonts w:ascii="宋体" w:hAnsi="宋体" w:hint="eastAsia"/>
          <w:color w:val="auto"/>
          <w:sz w:val="24"/>
        </w:rPr>
        <w:t>的要求，在系统测评工作的基础上，对信息系统总体信息安全管理和技术方面现状进行全面的分析，制订信息安全等级保护安全建设整改建议方案，方案内容包含但不限于：信息安全背景、政策与技术标准依据、当前风险分析、安全需求分析、总体安全策略、安全建设整改技术方案设计、安全建设整改管理体系设计、信息系统安全产品选型及技术指标建议、安全建设整改项目实施计划、项目预算、整改后可能存在的其他问题。</w:t>
      </w:r>
    </w:p>
    <w:p w:rsidR="005C2575" w:rsidRDefault="005C2575" w:rsidP="005C2575">
      <w:pPr>
        <w:pStyle w:val="10"/>
      </w:pPr>
    </w:p>
    <w:p w:rsidR="005C2575" w:rsidRDefault="005C2575" w:rsidP="005C2575">
      <w:pPr>
        <w:tabs>
          <w:tab w:val="left" w:pos="425"/>
        </w:tabs>
        <w:spacing w:before="120" w:after="120"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bCs/>
          <w:sz w:val="24"/>
          <w:szCs w:val="21"/>
        </w:rPr>
        <w:t>3</w:t>
      </w:r>
      <w:r>
        <w:rPr>
          <w:rFonts w:hint="eastAsia"/>
          <w:b/>
          <w:bCs/>
          <w:sz w:val="24"/>
          <w:szCs w:val="21"/>
        </w:rPr>
        <w:t>、具体技术要求</w:t>
      </w:r>
    </w:p>
    <w:p w:rsidR="005C2575" w:rsidRDefault="005C2575" w:rsidP="005C2575">
      <w:pPr>
        <w:spacing w:before="120" w:after="120" w:line="360" w:lineRule="auto"/>
        <w:ind w:firstLineChars="210" w:firstLine="504"/>
        <w:rPr>
          <w:bCs/>
          <w:sz w:val="24"/>
        </w:rPr>
      </w:pPr>
      <w:r>
        <w:rPr>
          <w:rFonts w:hint="eastAsia"/>
          <w:bCs/>
          <w:sz w:val="24"/>
        </w:rPr>
        <w:t>安全通用要求分为安全技术要求和安全管理要求。</w:t>
      </w:r>
    </w:p>
    <w:p w:rsidR="005C2575" w:rsidRDefault="005C2575" w:rsidP="005C2575">
      <w:pPr>
        <w:spacing w:before="120" w:after="120" w:line="360" w:lineRule="auto"/>
        <w:ind w:firstLineChars="210" w:firstLine="504"/>
        <w:rPr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）安全技术要求：包括安全物理环境、安全通信网络、安全区域边界、安全计算环境和安全管理中心五个方面的安全控制测评。</w:t>
      </w:r>
    </w:p>
    <w:p w:rsidR="005C2575" w:rsidRDefault="005C2575" w:rsidP="005C2575">
      <w:pPr>
        <w:spacing w:before="120" w:after="120" w:line="360" w:lineRule="auto"/>
        <w:ind w:firstLineChars="210" w:firstLine="504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>2</w:t>
      </w:r>
      <w:r>
        <w:rPr>
          <w:rFonts w:hint="eastAsia"/>
          <w:bCs/>
          <w:sz w:val="24"/>
        </w:rPr>
        <w:t>）安全管理要求：包括安全管理制度、安全管理机构、安全管理人员、安全建设管理和</w:t>
      </w:r>
      <w:proofErr w:type="gramStart"/>
      <w:r>
        <w:rPr>
          <w:rFonts w:hint="eastAsia"/>
          <w:bCs/>
          <w:sz w:val="24"/>
        </w:rPr>
        <w:t>安全运维管理</w:t>
      </w:r>
      <w:proofErr w:type="gramEnd"/>
      <w:r>
        <w:rPr>
          <w:rFonts w:hint="eastAsia"/>
          <w:bCs/>
          <w:sz w:val="24"/>
        </w:rPr>
        <w:t>五个方面的安全控制测评。</w:t>
      </w:r>
    </w:p>
    <w:p w:rsidR="005C2575" w:rsidRDefault="005C2575" w:rsidP="005C2575">
      <w:pPr>
        <w:pStyle w:val="Style1"/>
        <w:snapToGrid/>
        <w:ind w:firstLine="480"/>
        <w:jc w:val="left"/>
        <w:rPr>
          <w:rFonts w:ascii="宋体" w:hAnsi="宋体"/>
          <w:color w:val="auto"/>
          <w:sz w:val="24"/>
        </w:rPr>
      </w:pPr>
      <w:bookmarkStart w:id="15" w:name="_Toc236707116"/>
      <w:r>
        <w:rPr>
          <w:rFonts w:ascii="宋体" w:hAnsi="宋体" w:hint="eastAsia"/>
          <w:color w:val="auto"/>
          <w:sz w:val="24"/>
        </w:rPr>
        <w:t>安全物理环境</w:t>
      </w:r>
      <w:bookmarkEnd w:id="15"/>
      <w:r>
        <w:rPr>
          <w:rFonts w:ascii="宋体" w:hAnsi="宋体" w:hint="eastAsia"/>
          <w:color w:val="auto"/>
          <w:sz w:val="24"/>
        </w:rPr>
        <w:t>：针对物理机房提出安全控制要求，主要对象为物理环境、物理设备和物理设施等；涉及的安全控制点包括物理位置选择、物理访问控制、防盗窃和防破坏、防雷击、防火、防水和防潮、防静电、温湿度控制、电力供应和电磁防护。</w:t>
      </w:r>
    </w:p>
    <w:p w:rsidR="005C2575" w:rsidRDefault="005C2575" w:rsidP="005C2575">
      <w:pPr>
        <w:pStyle w:val="Style1"/>
        <w:snapToGrid/>
        <w:ind w:firstLine="480"/>
        <w:jc w:val="left"/>
        <w:rPr>
          <w:rFonts w:ascii="宋体" w:hAnsi="宋体"/>
          <w:color w:val="auto"/>
          <w:sz w:val="24"/>
        </w:rPr>
      </w:pPr>
      <w:bookmarkStart w:id="16" w:name="_Toc236707117"/>
      <w:r>
        <w:rPr>
          <w:rFonts w:ascii="宋体" w:hAnsi="宋体" w:hint="eastAsia"/>
          <w:color w:val="auto"/>
          <w:sz w:val="24"/>
        </w:rPr>
        <w:t>安全通信网络</w:t>
      </w:r>
      <w:bookmarkEnd w:id="16"/>
      <w:r>
        <w:rPr>
          <w:rFonts w:ascii="宋体" w:hAnsi="宋体" w:hint="eastAsia"/>
          <w:color w:val="auto"/>
          <w:sz w:val="24"/>
        </w:rPr>
        <w:t>：针对网络架构和通信传输提出安全控制要求。主要对象为广域网、城域网、局域网的通信传输以及网络架构等；涉及的安全控制点包括网络架构、通信传输和可信验证。</w:t>
      </w:r>
    </w:p>
    <w:p w:rsidR="005C2575" w:rsidRDefault="005C2575" w:rsidP="005C2575">
      <w:pPr>
        <w:pStyle w:val="Style1"/>
        <w:snapToGrid/>
        <w:ind w:firstLine="480"/>
        <w:jc w:val="left"/>
        <w:rPr>
          <w:rFonts w:ascii="宋体" w:hAnsi="宋体"/>
          <w:color w:val="auto"/>
          <w:sz w:val="24"/>
        </w:rPr>
      </w:pPr>
      <w:bookmarkStart w:id="17" w:name="_Toc236707118"/>
      <w:r>
        <w:rPr>
          <w:rFonts w:ascii="宋体" w:hAnsi="宋体" w:hint="eastAsia"/>
          <w:color w:val="auto"/>
          <w:sz w:val="24"/>
        </w:rPr>
        <w:t>安全区域边界</w:t>
      </w:r>
      <w:bookmarkEnd w:id="17"/>
      <w:r>
        <w:rPr>
          <w:rFonts w:ascii="宋体" w:hAnsi="宋体" w:hint="eastAsia"/>
          <w:color w:val="auto"/>
          <w:sz w:val="24"/>
        </w:rPr>
        <w:t>：针对网络边界提出安全控制要求，主要对象为系统边界和区域边界等；涉及的安全控制点包括边界防护、访问控制、入侵防范、恶意代码和垃圾邮件防范、安全审计和可信验证。</w:t>
      </w:r>
    </w:p>
    <w:p w:rsidR="005C2575" w:rsidRDefault="005C2575" w:rsidP="005C2575">
      <w:pPr>
        <w:pStyle w:val="Style1"/>
        <w:snapToGrid/>
        <w:ind w:firstLine="480"/>
        <w:jc w:val="left"/>
        <w:rPr>
          <w:rFonts w:ascii="宋体" w:hAnsi="宋体"/>
          <w:color w:val="auto"/>
          <w:sz w:val="24"/>
        </w:rPr>
      </w:pPr>
      <w:bookmarkStart w:id="18" w:name="_Toc236707119"/>
      <w:r>
        <w:rPr>
          <w:rFonts w:ascii="宋体" w:hAnsi="宋体" w:hint="eastAsia"/>
          <w:color w:val="auto"/>
          <w:sz w:val="24"/>
        </w:rPr>
        <w:t>安全计算环境</w:t>
      </w:r>
      <w:bookmarkEnd w:id="18"/>
      <w:r>
        <w:rPr>
          <w:rFonts w:ascii="宋体" w:hAnsi="宋体" w:hint="eastAsia"/>
          <w:color w:val="auto"/>
          <w:sz w:val="24"/>
        </w:rPr>
        <w:t>：对边界内部提出安全控制要求，主要对象为边界内部的所有对象，包括网络设备、安全设备、服务器设备、终端设备、应用系统、数据对象和其他设备等；涉及的安全控制点包括身份鉴别、访问控制、安全审计、入侵防范、恶意代码防范、可信验证、数据完整性、数据保密性、数据备份恢复、剩余信息保护和个人信息保护。</w:t>
      </w:r>
    </w:p>
    <w:p w:rsidR="005C2575" w:rsidRDefault="005C2575" w:rsidP="005C2575">
      <w:pPr>
        <w:pStyle w:val="Style1"/>
        <w:snapToGrid/>
        <w:ind w:firstLine="480"/>
        <w:jc w:val="left"/>
        <w:rPr>
          <w:rFonts w:ascii="宋体" w:hAnsi="宋体"/>
          <w:color w:val="auto"/>
          <w:sz w:val="24"/>
        </w:rPr>
      </w:pPr>
      <w:bookmarkStart w:id="19" w:name="_Toc236707120"/>
      <w:r>
        <w:rPr>
          <w:rFonts w:ascii="宋体" w:hAnsi="宋体" w:hint="eastAsia"/>
          <w:color w:val="auto"/>
          <w:sz w:val="24"/>
        </w:rPr>
        <w:t>安全管理中心</w:t>
      </w:r>
      <w:bookmarkEnd w:id="19"/>
      <w:r>
        <w:rPr>
          <w:rFonts w:ascii="宋体" w:hAnsi="宋体" w:hint="eastAsia"/>
          <w:color w:val="auto"/>
          <w:sz w:val="24"/>
        </w:rPr>
        <w:t>：针对整个系统提出安全管理方面的技术控制要求，通过技术手段实现集中管理；涉及的安全控制点包括系统管理、审计管理、安全管理和集中管控。</w:t>
      </w:r>
    </w:p>
    <w:p w:rsidR="005C2575" w:rsidRDefault="005C2575" w:rsidP="005C2575">
      <w:pPr>
        <w:pStyle w:val="Style1"/>
        <w:snapToGrid/>
        <w:ind w:firstLine="480"/>
        <w:jc w:val="left"/>
        <w:rPr>
          <w:rFonts w:ascii="宋体" w:hAnsi="宋体"/>
          <w:color w:val="auto"/>
          <w:sz w:val="24"/>
        </w:rPr>
      </w:pPr>
      <w:bookmarkStart w:id="20" w:name="_Toc236707122"/>
      <w:r>
        <w:rPr>
          <w:rFonts w:ascii="宋体" w:hAnsi="宋体" w:hint="eastAsia"/>
          <w:color w:val="auto"/>
          <w:sz w:val="24"/>
        </w:rPr>
        <w:t>安全管理制度</w:t>
      </w:r>
      <w:bookmarkEnd w:id="20"/>
      <w:r>
        <w:rPr>
          <w:rFonts w:ascii="宋体" w:hAnsi="宋体" w:hint="eastAsia"/>
          <w:color w:val="auto"/>
          <w:sz w:val="24"/>
        </w:rPr>
        <w:t>：针对整个管理制度体系提出安全控制要求，涉及的安全控制点包括安全策略、管理制度、制定和发布以及评审和修订。</w:t>
      </w:r>
    </w:p>
    <w:p w:rsidR="005C2575" w:rsidRDefault="005C2575" w:rsidP="005C2575">
      <w:pPr>
        <w:pStyle w:val="Style1"/>
        <w:snapToGrid/>
        <w:ind w:firstLine="480"/>
        <w:jc w:val="left"/>
        <w:rPr>
          <w:rFonts w:ascii="宋体" w:hAnsi="宋体"/>
          <w:color w:val="auto"/>
          <w:sz w:val="24"/>
        </w:rPr>
      </w:pPr>
      <w:bookmarkStart w:id="21" w:name="_Toc236707121"/>
      <w:r>
        <w:rPr>
          <w:rFonts w:ascii="宋体" w:hAnsi="宋体" w:hint="eastAsia"/>
          <w:color w:val="auto"/>
          <w:sz w:val="24"/>
        </w:rPr>
        <w:t>安全管理机构</w:t>
      </w:r>
      <w:bookmarkEnd w:id="21"/>
      <w:r>
        <w:rPr>
          <w:rFonts w:ascii="宋体" w:hAnsi="宋体" w:hint="eastAsia"/>
          <w:color w:val="auto"/>
          <w:sz w:val="24"/>
        </w:rPr>
        <w:t>：针对整个管理组织架构提出安全控制要求，涉及的安全控制点包括岗位设置、人员配备、授权和审批、沟通和合作以及审核和检查。</w:t>
      </w:r>
    </w:p>
    <w:p w:rsidR="005C2575" w:rsidRDefault="005C2575" w:rsidP="005C2575">
      <w:pPr>
        <w:pStyle w:val="Style1"/>
        <w:snapToGrid/>
        <w:ind w:firstLine="480"/>
        <w:jc w:val="left"/>
        <w:rPr>
          <w:rFonts w:ascii="宋体" w:hAnsi="宋体"/>
          <w:color w:val="auto"/>
          <w:sz w:val="24"/>
        </w:rPr>
      </w:pPr>
      <w:bookmarkStart w:id="22" w:name="_Toc236707123"/>
      <w:r>
        <w:rPr>
          <w:rFonts w:ascii="宋体" w:hAnsi="宋体" w:hint="eastAsia"/>
          <w:color w:val="auto"/>
          <w:sz w:val="24"/>
        </w:rPr>
        <w:t>安全管理</w:t>
      </w:r>
      <w:bookmarkEnd w:id="22"/>
      <w:r>
        <w:rPr>
          <w:rFonts w:ascii="宋体" w:hAnsi="宋体" w:hint="eastAsia"/>
          <w:color w:val="auto"/>
          <w:sz w:val="24"/>
        </w:rPr>
        <w:t>人员：针对人员管理提出安全控制要求，涉及的安全控制点包括人员录用、人员离岗、安全意识教育和培训以及外部人员访问管理。</w:t>
      </w:r>
    </w:p>
    <w:p w:rsidR="005C2575" w:rsidRDefault="005C2575" w:rsidP="005C2575">
      <w:pPr>
        <w:pStyle w:val="Style1"/>
        <w:snapToGrid/>
        <w:ind w:firstLine="480"/>
        <w:jc w:val="left"/>
        <w:rPr>
          <w:rFonts w:ascii="宋体" w:hAnsi="宋体"/>
          <w:color w:val="auto"/>
          <w:sz w:val="24"/>
        </w:rPr>
      </w:pPr>
      <w:bookmarkStart w:id="23" w:name="_Toc236707124"/>
      <w:r>
        <w:rPr>
          <w:rFonts w:ascii="宋体" w:hAnsi="宋体" w:hint="eastAsia"/>
          <w:color w:val="auto"/>
          <w:sz w:val="24"/>
        </w:rPr>
        <w:t>安全建设管理</w:t>
      </w:r>
      <w:bookmarkEnd w:id="23"/>
      <w:r>
        <w:rPr>
          <w:rFonts w:ascii="宋体" w:hAnsi="宋体" w:hint="eastAsia"/>
          <w:color w:val="auto"/>
          <w:sz w:val="24"/>
        </w:rPr>
        <w:t>：针对安全建设过程提出安全控制要求，涉及的安全控制点包括定级和备案、安全方案设计、产品采购和使用、自行软件开发、外包软件开发、工程实施、测试验收、系统交付、等级测评和服务供应商管理。</w:t>
      </w:r>
    </w:p>
    <w:p w:rsidR="005C2575" w:rsidRDefault="005C2575" w:rsidP="005C2575">
      <w:pPr>
        <w:tabs>
          <w:tab w:val="left" w:pos="425"/>
        </w:tabs>
        <w:spacing w:before="120" w:after="120" w:line="360" w:lineRule="auto"/>
        <w:ind w:firstLineChars="200" w:firstLine="480"/>
        <w:rPr>
          <w:rFonts w:ascii="宋体" w:hAnsi="宋体"/>
          <w:sz w:val="24"/>
        </w:rPr>
      </w:pPr>
      <w:bookmarkStart w:id="24" w:name="_Toc236707125"/>
      <w:proofErr w:type="gramStart"/>
      <w:r>
        <w:rPr>
          <w:rFonts w:ascii="宋体" w:hAnsi="宋体" w:hint="eastAsia"/>
          <w:sz w:val="24"/>
        </w:rPr>
        <w:lastRenderedPageBreak/>
        <w:t>安全运</w:t>
      </w:r>
      <w:proofErr w:type="gramEnd"/>
      <w:r>
        <w:rPr>
          <w:rFonts w:ascii="宋体" w:hAnsi="宋体" w:hint="eastAsia"/>
          <w:sz w:val="24"/>
        </w:rPr>
        <w:t>维管理</w:t>
      </w:r>
      <w:bookmarkEnd w:id="24"/>
      <w:r>
        <w:rPr>
          <w:rFonts w:ascii="宋体" w:hAnsi="宋体" w:hint="eastAsia"/>
          <w:sz w:val="24"/>
        </w:rPr>
        <w:t>：针对</w:t>
      </w:r>
      <w:proofErr w:type="gramStart"/>
      <w:r>
        <w:rPr>
          <w:rFonts w:ascii="宋体" w:hAnsi="宋体" w:hint="eastAsia"/>
          <w:sz w:val="24"/>
        </w:rPr>
        <w:t>安全运维过程</w:t>
      </w:r>
      <w:proofErr w:type="gramEnd"/>
      <w:r>
        <w:rPr>
          <w:rFonts w:ascii="宋体" w:hAnsi="宋体" w:hint="eastAsia"/>
          <w:sz w:val="24"/>
        </w:rPr>
        <w:t>提出安全控制要求，涉及的安全控制点包括环境管理、资产管理、介质管理、设备维护管理、漏洞和风险管理、网络和系统安全管理、恶意代码防范管理、配置管理、密码管理、变更管理、备份与恢复管理、安全事件处置、应急预案管和外包运维管理。</w:t>
      </w:r>
    </w:p>
    <w:p w:rsidR="005C2575" w:rsidRDefault="005C2575" w:rsidP="005C2575">
      <w:pPr>
        <w:pStyle w:val="a0"/>
        <w:ind w:firstLineChars="0" w:firstLine="0"/>
      </w:pPr>
    </w:p>
    <w:p w:rsidR="005C2575" w:rsidRDefault="005C2575" w:rsidP="005C2575">
      <w:pPr>
        <w:pStyle w:val="2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六、工期要求</w:t>
      </w:r>
      <w:bookmarkEnd w:id="14"/>
      <w:r>
        <w:rPr>
          <w:rFonts w:ascii="宋体" w:hAnsi="宋体" w:hint="eastAsia"/>
          <w:bCs/>
          <w:sz w:val="24"/>
          <w:szCs w:val="21"/>
        </w:rPr>
        <w:t>和交付成果</w:t>
      </w:r>
    </w:p>
    <w:p w:rsidR="005C2575" w:rsidRDefault="005C2575" w:rsidP="005C257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40个工作日内完成。</w:t>
      </w:r>
    </w:p>
    <w:p w:rsidR="005C2575" w:rsidRDefault="005C2575" w:rsidP="005C2575">
      <w:pPr>
        <w:pStyle w:val="Style1"/>
        <w:snapToGrid/>
        <w:ind w:firstLineChars="0" w:firstLine="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>成果包含：网络安全等级测评报告、网络安全整改建议方案、等级保护备案证明。</w:t>
      </w:r>
    </w:p>
    <w:p w:rsidR="00247915" w:rsidRPr="005C2575" w:rsidRDefault="009E1776"/>
    <w:sectPr w:rsidR="00247915" w:rsidRPr="005C2575" w:rsidSect="008E2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76" w:rsidRDefault="009E1776" w:rsidP="005C2575">
      <w:r>
        <w:separator/>
      </w:r>
    </w:p>
  </w:endnote>
  <w:endnote w:type="continuationSeparator" w:id="0">
    <w:p w:rsidR="009E1776" w:rsidRDefault="009E1776" w:rsidP="005C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76" w:rsidRDefault="009E1776" w:rsidP="005C2575">
      <w:r>
        <w:separator/>
      </w:r>
    </w:p>
  </w:footnote>
  <w:footnote w:type="continuationSeparator" w:id="0">
    <w:p w:rsidR="009E1776" w:rsidRDefault="009E1776" w:rsidP="005C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F0A24"/>
    <w:multiLevelType w:val="multilevel"/>
    <w:tmpl w:val="4C1F0A24"/>
    <w:lvl w:ilvl="0">
      <w:start w:val="1"/>
      <w:numFmt w:val="upperRoman"/>
      <w:pStyle w:val="1"/>
      <w:lvlText w:val="第 %1 条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64112C00"/>
    <w:multiLevelType w:val="multilevel"/>
    <w:tmpl w:val="64112C0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575"/>
    <w:rsid w:val="001A1A3C"/>
    <w:rsid w:val="002A6EB7"/>
    <w:rsid w:val="005C2575"/>
    <w:rsid w:val="008E2BC8"/>
    <w:rsid w:val="009E1776"/>
    <w:rsid w:val="00EC374B"/>
    <w:rsid w:val="00FE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C2575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5C2575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C2575"/>
    <w:pPr>
      <w:spacing w:line="408" w:lineRule="auto"/>
      <w:outlineLvl w:val="1"/>
    </w:pPr>
    <w:rPr>
      <w:rFonts w:ascii="Cambria" w:hAnsi="Cambria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C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C25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C2575"/>
    <w:rPr>
      <w:sz w:val="18"/>
      <w:szCs w:val="18"/>
    </w:rPr>
  </w:style>
  <w:style w:type="character" w:customStyle="1" w:styleId="1Char">
    <w:name w:val="标题 1 Char"/>
    <w:basedOn w:val="a1"/>
    <w:link w:val="1"/>
    <w:rsid w:val="005C2575"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5C2575"/>
    <w:rPr>
      <w:rFonts w:ascii="Cambria" w:hAnsi="Cambria" w:cs="Times New Roman"/>
      <w:b/>
      <w:sz w:val="32"/>
      <w:szCs w:val="20"/>
    </w:rPr>
  </w:style>
  <w:style w:type="paragraph" w:customStyle="1" w:styleId="a0">
    <w:name w:val="正文（缩进）"/>
    <w:basedOn w:val="a"/>
    <w:qFormat/>
    <w:rsid w:val="005C2575"/>
    <w:pPr>
      <w:spacing w:before="50" w:after="50"/>
      <w:ind w:firstLineChars="200" w:firstLine="200"/>
    </w:pPr>
    <w:rPr>
      <w:szCs w:val="22"/>
    </w:rPr>
  </w:style>
  <w:style w:type="paragraph" w:customStyle="1" w:styleId="Style1">
    <w:name w:val="_Style 1"/>
    <w:basedOn w:val="a"/>
    <w:qFormat/>
    <w:rsid w:val="005C2575"/>
    <w:pPr>
      <w:adjustRightInd w:val="0"/>
      <w:snapToGrid w:val="0"/>
      <w:spacing w:line="360" w:lineRule="auto"/>
      <w:ind w:firstLineChars="200" w:firstLine="420"/>
    </w:pPr>
    <w:rPr>
      <w:color w:val="000000"/>
      <w:szCs w:val="21"/>
    </w:rPr>
  </w:style>
  <w:style w:type="paragraph" w:customStyle="1" w:styleId="10">
    <w:name w:val="无间隔1"/>
    <w:qFormat/>
    <w:rsid w:val="005C2575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Company>Sky123.Org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2020-02-26T08:59:00Z</dcterms:created>
  <dcterms:modified xsi:type="dcterms:W3CDTF">2020-02-26T08:59:00Z</dcterms:modified>
</cp:coreProperties>
</file>